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Vännäs kommunfullmäktige</w:t>
      </w:r>
    </w:p>
    <w:p>
      <w:pPr>
        <w:pStyle w:val="Heading1"/>
      </w:pPr>
      <w:r>
        <w:t xml:space="preserve">Fler hyresrätter via kommunalt bostadsbolag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Vännäs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Boverket konstaterar att Vännäs har en bostadsbrist för unga vuxna. Endast 18 nya hyresrätter har tillkommit sedan 2022. Ett aktivt kommunalt bostadsbolag kan säkerställa byggande av prisvärda lägenheter.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Vännäs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 kommunstyrelsen i uppdrag att utreda bildande av ett kommunalt bostadsbolag.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målsätta 80 nya hyresrätter under mandatperioden.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byggande i centrala Vännäs och Bjurholm.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2 mnkr för förstudie och markberedning 2027.</w:t>
      </w:r>
    </w:p>
    <w:p>
      <w:pPr>
        <w:spacing w:before="360"/>
      </w:pPr>
    </w:p>
    <w:p>
      <w:r>
        <w:t xml:space="preserve">Vännäs,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Vännäs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2026-07-14T01:53:13.474Z</dcterms:created>
  <dcterms:modified xsi:type="dcterms:W3CDTF">2026-07-14T01:53:13.474Z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